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4AC" w:rsidRDefault="00CC64AC" w:rsidP="00CC64AC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</w:pPr>
      <w:r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  <w:t>1015–2 RELATED CASES</w:t>
      </w:r>
    </w:p>
    <w:p w:rsidR="00CC64AC" w:rsidRDefault="00CC64AC" w:rsidP="00CC64AC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</w:pPr>
    </w:p>
    <w:p w:rsidR="00CC64AC" w:rsidRDefault="00CC64AC" w:rsidP="00CC64AC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</w:rPr>
      </w:pPr>
      <w:r>
        <w:rPr>
          <w:rFonts w:ascii="TimesNewRomanPS-BoldMT" w:eastAsiaTheme="minorHAnsi" w:hAnsi="TimesNewRomanPS-BoldMT" w:cs="TimesNewRomanPS-BoldMT"/>
          <w:b/>
          <w:bCs/>
        </w:rPr>
        <w:t xml:space="preserve">(a) Definition. </w:t>
      </w:r>
      <w:r>
        <w:rPr>
          <w:rFonts w:ascii="TimesNewRomanPSMT" w:eastAsiaTheme="minorHAnsi" w:hAnsi="TimesNewRomanPSMT" w:cs="TimesNewRomanPSMT"/>
        </w:rPr>
        <w:t>If venue is otherwise proper in the Southern District of Ohio, a petition</w:t>
      </w:r>
    </w:p>
    <w:p w:rsidR="00CC64AC" w:rsidRDefault="00CC64AC" w:rsidP="00CC64AC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</w:rPr>
      </w:pPr>
      <w:proofErr w:type="gramStart"/>
      <w:r>
        <w:rPr>
          <w:rFonts w:ascii="TimesNewRomanPSMT" w:eastAsiaTheme="minorHAnsi" w:hAnsi="TimesNewRomanPSMT" w:cs="TimesNewRomanPSMT"/>
        </w:rPr>
        <w:t>involving</w:t>
      </w:r>
      <w:proofErr w:type="gramEnd"/>
      <w:r>
        <w:rPr>
          <w:rFonts w:ascii="TimesNewRomanPSMT" w:eastAsiaTheme="minorHAnsi" w:hAnsi="TimesNewRomanPSMT" w:cs="TimesNewRomanPSMT"/>
        </w:rPr>
        <w:t xml:space="preserve"> a prior voluntary or involuntary related case shall be filed at the court location</w:t>
      </w:r>
    </w:p>
    <w:p w:rsidR="00CC64AC" w:rsidRDefault="00CC64AC" w:rsidP="00CC64AC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</w:rPr>
      </w:pPr>
      <w:proofErr w:type="gramStart"/>
      <w:r>
        <w:rPr>
          <w:rFonts w:ascii="TimesNewRomanPSMT" w:eastAsiaTheme="minorHAnsi" w:hAnsi="TimesNewRomanPSMT" w:cs="TimesNewRomanPSMT"/>
        </w:rPr>
        <w:t>where</w:t>
      </w:r>
      <w:proofErr w:type="gramEnd"/>
      <w:r>
        <w:rPr>
          <w:rFonts w:ascii="TimesNewRomanPSMT" w:eastAsiaTheme="minorHAnsi" w:hAnsi="TimesNewRomanPSMT" w:cs="TimesNewRomanPSMT"/>
        </w:rPr>
        <w:t xml:space="preserve"> the first related case was filed. Related cases include cases in which the debtors are:</w:t>
      </w:r>
    </w:p>
    <w:p w:rsidR="00CC64AC" w:rsidRDefault="00CC64AC" w:rsidP="00CC64AC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</w:rPr>
      </w:pPr>
      <w:r>
        <w:rPr>
          <w:rFonts w:ascii="TimesNewRomanPS-BoldMT" w:eastAsiaTheme="minorHAnsi" w:hAnsi="TimesNewRomanPS-BoldMT" w:cs="TimesNewRomanPS-BoldMT"/>
          <w:b/>
          <w:bCs/>
        </w:rPr>
        <w:tab/>
      </w:r>
      <w:r>
        <w:rPr>
          <w:rFonts w:ascii="TimesNewRomanPS-BoldMT" w:eastAsiaTheme="minorHAnsi" w:hAnsi="TimesNewRomanPS-BoldMT" w:cs="TimesNewRomanPS-BoldMT"/>
          <w:b/>
          <w:bCs/>
        </w:rPr>
        <w:t xml:space="preserve">(1) </w:t>
      </w:r>
      <w:r>
        <w:rPr>
          <w:rFonts w:ascii="TimesNewRomanPSMT" w:eastAsiaTheme="minorHAnsi" w:hAnsi="TimesNewRomanPSMT" w:cs="TimesNewRomanPSMT"/>
        </w:rPr>
        <w:t>Identical individuals or entities, including DBAs, FDBAs;</w:t>
      </w:r>
    </w:p>
    <w:p w:rsidR="00CC64AC" w:rsidRDefault="00CC64AC" w:rsidP="00CC64AC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</w:rPr>
      </w:pPr>
      <w:r>
        <w:rPr>
          <w:rFonts w:ascii="TimesNewRomanPS-BoldMT" w:eastAsiaTheme="minorHAnsi" w:hAnsi="TimesNewRomanPS-BoldMT" w:cs="TimesNewRomanPS-BoldMT"/>
          <w:b/>
          <w:bCs/>
        </w:rPr>
        <w:tab/>
      </w:r>
      <w:r>
        <w:rPr>
          <w:rFonts w:ascii="TimesNewRomanPS-BoldMT" w:eastAsiaTheme="minorHAnsi" w:hAnsi="TimesNewRomanPS-BoldMT" w:cs="TimesNewRomanPS-BoldMT"/>
          <w:b/>
          <w:bCs/>
        </w:rPr>
        <w:t xml:space="preserve">(2) </w:t>
      </w:r>
      <w:r>
        <w:rPr>
          <w:rFonts w:ascii="TimesNewRomanPSMT" w:eastAsiaTheme="minorHAnsi" w:hAnsi="TimesNewRomanPSMT" w:cs="TimesNewRomanPSMT"/>
        </w:rPr>
        <w:t>Identical business entities;</w:t>
      </w:r>
    </w:p>
    <w:p w:rsidR="00CC64AC" w:rsidRDefault="00CC64AC" w:rsidP="00CC64AC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</w:rPr>
      </w:pPr>
      <w:r>
        <w:rPr>
          <w:rFonts w:ascii="TimesNewRomanPS-BoldMT" w:eastAsiaTheme="minorHAnsi" w:hAnsi="TimesNewRomanPS-BoldMT" w:cs="TimesNewRomanPS-BoldMT"/>
          <w:b/>
          <w:bCs/>
        </w:rPr>
        <w:tab/>
      </w:r>
      <w:r>
        <w:rPr>
          <w:rFonts w:ascii="TimesNewRomanPS-BoldMT" w:eastAsiaTheme="minorHAnsi" w:hAnsi="TimesNewRomanPS-BoldMT" w:cs="TimesNewRomanPS-BoldMT"/>
          <w:b/>
          <w:bCs/>
        </w:rPr>
        <w:t xml:space="preserve">(3) </w:t>
      </w:r>
      <w:r>
        <w:rPr>
          <w:rFonts w:ascii="TimesNewRomanPSMT" w:eastAsiaTheme="minorHAnsi" w:hAnsi="TimesNewRomanPSMT" w:cs="TimesNewRomanPSMT"/>
        </w:rPr>
        <w:t>A corporation/limited liability company and any major shareholder/member</w:t>
      </w:r>
    </w:p>
    <w:p w:rsidR="00CC64AC" w:rsidRDefault="00CC64AC" w:rsidP="00CC64AC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</w:rPr>
      </w:pPr>
      <w:r>
        <w:rPr>
          <w:rFonts w:ascii="TimesNewRomanPSMT" w:eastAsiaTheme="minorHAnsi" w:hAnsi="TimesNewRomanPSMT" w:cs="TimesNewRomanPSMT"/>
        </w:rPr>
        <w:tab/>
      </w:r>
      <w:proofErr w:type="gramStart"/>
      <w:r>
        <w:rPr>
          <w:rFonts w:ascii="TimesNewRomanPSMT" w:eastAsiaTheme="minorHAnsi" w:hAnsi="TimesNewRomanPSMT" w:cs="TimesNewRomanPSMT"/>
        </w:rPr>
        <w:t>thereof</w:t>
      </w:r>
      <w:proofErr w:type="gramEnd"/>
      <w:r>
        <w:rPr>
          <w:rFonts w:ascii="TimesNewRomanPSMT" w:eastAsiaTheme="minorHAnsi" w:hAnsi="TimesNewRomanPSMT" w:cs="TimesNewRomanPSMT"/>
        </w:rPr>
        <w:t xml:space="preserve"> (see §§ 101(2), (9) and (31) of the Code);</w:t>
      </w:r>
    </w:p>
    <w:p w:rsidR="00CC64AC" w:rsidRDefault="00CC64AC" w:rsidP="00CC64AC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</w:rPr>
      </w:pPr>
      <w:r>
        <w:rPr>
          <w:rFonts w:ascii="TimesNewRomanPS-BoldMT" w:eastAsiaTheme="minorHAnsi" w:hAnsi="TimesNewRomanPS-BoldMT" w:cs="TimesNewRomanPS-BoldMT"/>
          <w:b/>
          <w:bCs/>
        </w:rPr>
        <w:tab/>
      </w:r>
      <w:r>
        <w:rPr>
          <w:rFonts w:ascii="TimesNewRomanPS-BoldMT" w:eastAsiaTheme="minorHAnsi" w:hAnsi="TimesNewRomanPS-BoldMT" w:cs="TimesNewRomanPS-BoldMT"/>
          <w:b/>
          <w:bCs/>
        </w:rPr>
        <w:t xml:space="preserve">(4) </w:t>
      </w:r>
      <w:r>
        <w:rPr>
          <w:rFonts w:ascii="TimesNewRomanPSMT" w:eastAsiaTheme="minorHAnsi" w:hAnsi="TimesNewRomanPSMT" w:cs="TimesNewRomanPSMT"/>
        </w:rPr>
        <w:t>Affiliates (see § 101(2) of the Code);</w:t>
      </w:r>
    </w:p>
    <w:p w:rsidR="00CC64AC" w:rsidRDefault="00CC64AC" w:rsidP="00CC64AC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</w:rPr>
      </w:pPr>
      <w:r>
        <w:rPr>
          <w:rFonts w:ascii="TimesNewRomanPS-BoldMT" w:eastAsiaTheme="minorHAnsi" w:hAnsi="TimesNewRomanPS-BoldMT" w:cs="TimesNewRomanPS-BoldMT"/>
          <w:b/>
          <w:bCs/>
        </w:rPr>
        <w:tab/>
      </w:r>
      <w:r>
        <w:rPr>
          <w:rFonts w:ascii="TimesNewRomanPS-BoldMT" w:eastAsiaTheme="minorHAnsi" w:hAnsi="TimesNewRomanPS-BoldMT" w:cs="TimesNewRomanPS-BoldMT"/>
          <w:b/>
          <w:bCs/>
        </w:rPr>
        <w:t xml:space="preserve">(5) </w:t>
      </w:r>
      <w:r>
        <w:rPr>
          <w:rFonts w:ascii="TimesNewRomanPSMT" w:eastAsiaTheme="minorHAnsi" w:hAnsi="TimesNewRomanPSMT" w:cs="TimesNewRomanPSMT"/>
        </w:rPr>
        <w:t>A partnership and any of its general partners;</w:t>
      </w:r>
    </w:p>
    <w:p w:rsidR="00CC64AC" w:rsidRDefault="00CC64AC" w:rsidP="00CC64AC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</w:rPr>
      </w:pPr>
      <w:r>
        <w:rPr>
          <w:rFonts w:ascii="TimesNewRomanPS-BoldMT" w:eastAsiaTheme="minorHAnsi" w:hAnsi="TimesNewRomanPS-BoldMT" w:cs="TimesNewRomanPS-BoldMT"/>
          <w:b/>
          <w:bCs/>
        </w:rPr>
        <w:tab/>
      </w:r>
      <w:r>
        <w:rPr>
          <w:rFonts w:ascii="TimesNewRomanPS-BoldMT" w:eastAsiaTheme="minorHAnsi" w:hAnsi="TimesNewRomanPS-BoldMT" w:cs="TimesNewRomanPS-BoldMT"/>
          <w:b/>
          <w:bCs/>
        </w:rPr>
        <w:t xml:space="preserve">(6) </w:t>
      </w:r>
      <w:r>
        <w:rPr>
          <w:rFonts w:ascii="TimesNewRomanPSMT" w:eastAsiaTheme="minorHAnsi" w:hAnsi="TimesNewRomanPSMT" w:cs="TimesNewRomanPSMT"/>
        </w:rPr>
        <w:t>An individual and his or her general partner or partners;</w:t>
      </w:r>
    </w:p>
    <w:p w:rsidR="00CC64AC" w:rsidRDefault="00CC64AC" w:rsidP="00CC64AC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</w:rPr>
      </w:pPr>
      <w:r>
        <w:rPr>
          <w:rFonts w:ascii="TimesNewRomanPS-BoldMT" w:eastAsiaTheme="minorHAnsi" w:hAnsi="TimesNewRomanPS-BoldMT" w:cs="TimesNewRomanPS-BoldMT"/>
          <w:b/>
          <w:bCs/>
        </w:rPr>
        <w:tab/>
      </w:r>
      <w:r>
        <w:rPr>
          <w:rFonts w:ascii="TimesNewRomanPS-BoldMT" w:eastAsiaTheme="minorHAnsi" w:hAnsi="TimesNewRomanPS-BoldMT" w:cs="TimesNewRomanPS-BoldMT"/>
          <w:b/>
          <w:bCs/>
        </w:rPr>
        <w:t xml:space="preserve">(7) </w:t>
      </w:r>
      <w:r>
        <w:rPr>
          <w:rFonts w:ascii="TimesNewRomanPSMT" w:eastAsiaTheme="minorHAnsi" w:hAnsi="TimesNewRomanPSMT" w:cs="TimesNewRomanPSMT"/>
        </w:rPr>
        <w:t>An individual and his or her spouse or former spouse; or</w:t>
      </w:r>
    </w:p>
    <w:p w:rsidR="00CC64AC" w:rsidRDefault="00CC64AC" w:rsidP="00CC64AC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</w:rPr>
      </w:pPr>
      <w:r>
        <w:rPr>
          <w:rFonts w:ascii="TimesNewRomanPS-BoldMT" w:eastAsiaTheme="minorHAnsi" w:hAnsi="TimesNewRomanPS-BoldMT" w:cs="TimesNewRomanPS-BoldMT"/>
          <w:b/>
          <w:bCs/>
        </w:rPr>
        <w:tab/>
      </w:r>
      <w:r>
        <w:rPr>
          <w:rFonts w:ascii="TimesNewRomanPS-BoldMT" w:eastAsiaTheme="minorHAnsi" w:hAnsi="TimesNewRomanPS-BoldMT" w:cs="TimesNewRomanPS-BoldMT"/>
          <w:b/>
          <w:bCs/>
        </w:rPr>
        <w:t xml:space="preserve">(8) </w:t>
      </w:r>
      <w:r>
        <w:rPr>
          <w:rFonts w:ascii="TimesNewRomanPSMT" w:eastAsiaTheme="minorHAnsi" w:hAnsi="TimesNewRomanPSMT" w:cs="TimesNewRomanPSMT"/>
        </w:rPr>
        <w:t>Entities having substantial identity of financial interests or assets.</w:t>
      </w:r>
    </w:p>
    <w:p w:rsidR="00CC64AC" w:rsidRDefault="00CC64AC" w:rsidP="00CC64AC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</w:rPr>
      </w:pPr>
    </w:p>
    <w:p w:rsidR="00CC64AC" w:rsidRDefault="00CC64AC" w:rsidP="00CC64AC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</w:rPr>
      </w:pPr>
      <w:r>
        <w:rPr>
          <w:rFonts w:ascii="TimesNewRomanPS-BoldMT" w:eastAsiaTheme="minorHAnsi" w:hAnsi="TimesNewRomanPS-BoldMT" w:cs="TimesNewRomanPS-BoldMT"/>
          <w:b/>
          <w:bCs/>
        </w:rPr>
        <w:t xml:space="preserve">(b) LBR Form 1015-2 Required. </w:t>
      </w:r>
      <w:r>
        <w:rPr>
          <w:rFonts w:ascii="TimesNewRomanPSMT" w:eastAsiaTheme="minorHAnsi" w:hAnsi="TimesNewRomanPSMT" w:cs="TimesNewRomanPSMT"/>
        </w:rPr>
        <w:t>In a voluntary case, for the purpose of disclosing</w:t>
      </w:r>
    </w:p>
    <w:p w:rsidR="00CC64AC" w:rsidRDefault="00CC64AC" w:rsidP="00CC64AC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</w:rPr>
      </w:pPr>
      <w:proofErr w:type="gramStart"/>
      <w:r>
        <w:rPr>
          <w:rFonts w:ascii="TimesNewRomanPSMT" w:eastAsiaTheme="minorHAnsi" w:hAnsi="TimesNewRomanPSMT" w:cs="TimesNewRomanPSMT"/>
        </w:rPr>
        <w:t>certain</w:t>
      </w:r>
      <w:proofErr w:type="gramEnd"/>
      <w:r>
        <w:rPr>
          <w:rFonts w:ascii="TimesNewRomanPSMT" w:eastAsiaTheme="minorHAnsi" w:hAnsi="TimesNewRomanPSMT" w:cs="TimesNewRomanPSMT"/>
        </w:rPr>
        <w:t xml:space="preserve"> prior, related bankruptcy filings, the debtor shall file LBR Form 1015-2 with the</w:t>
      </w:r>
    </w:p>
    <w:p w:rsidR="00CC64AC" w:rsidRDefault="00CC64AC" w:rsidP="00CC64AC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</w:rPr>
      </w:pPr>
      <w:proofErr w:type="gramStart"/>
      <w:r>
        <w:rPr>
          <w:rFonts w:ascii="TimesNewRomanPSMT" w:eastAsiaTheme="minorHAnsi" w:hAnsi="TimesNewRomanPSMT" w:cs="TimesNewRomanPSMT"/>
        </w:rPr>
        <w:t>petition</w:t>
      </w:r>
      <w:proofErr w:type="gramEnd"/>
      <w:r>
        <w:rPr>
          <w:rFonts w:ascii="TimesNewRomanPSMT" w:eastAsiaTheme="minorHAnsi" w:hAnsi="TimesNewRomanPSMT" w:cs="TimesNewRomanPSMT"/>
        </w:rPr>
        <w:t>.</w:t>
      </w:r>
    </w:p>
    <w:p w:rsidR="00CC64AC" w:rsidRDefault="00CC64AC" w:rsidP="00CC64AC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</w:rPr>
      </w:pPr>
    </w:p>
    <w:p w:rsidR="00CC64AC" w:rsidRDefault="00CC64AC" w:rsidP="00CC64AC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</w:rPr>
      </w:pPr>
      <w:r>
        <w:rPr>
          <w:rFonts w:ascii="TimesNewRomanPS-BoldMT" w:eastAsiaTheme="minorHAnsi" w:hAnsi="TimesNewRomanPS-BoldMT" w:cs="TimesNewRomanPS-BoldMT"/>
          <w:b/>
          <w:bCs/>
        </w:rPr>
        <w:t xml:space="preserve">(c) Assignment of Related Cases by Clerk. </w:t>
      </w:r>
      <w:r>
        <w:rPr>
          <w:rFonts w:ascii="TimesNewRomanPSMT" w:eastAsiaTheme="minorHAnsi" w:hAnsi="TimesNewRomanPSMT" w:cs="TimesNewRomanPSMT"/>
        </w:rPr>
        <w:t>When the petition or an LBR Form 1015–2</w:t>
      </w:r>
    </w:p>
    <w:p w:rsidR="00CC64AC" w:rsidRDefault="00CC64AC" w:rsidP="00CC64AC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</w:rPr>
      </w:pPr>
      <w:proofErr w:type="gramStart"/>
      <w:r>
        <w:rPr>
          <w:rFonts w:ascii="TimesNewRomanPSMT" w:eastAsiaTheme="minorHAnsi" w:hAnsi="TimesNewRomanPSMT" w:cs="TimesNewRomanPSMT"/>
        </w:rPr>
        <w:t>discloses</w:t>
      </w:r>
      <w:proofErr w:type="gramEnd"/>
      <w:r>
        <w:rPr>
          <w:rFonts w:ascii="TimesNewRomanPSMT" w:eastAsiaTheme="minorHAnsi" w:hAnsi="TimesNewRomanPSMT" w:cs="TimesNewRomanPSMT"/>
        </w:rPr>
        <w:t xml:space="preserve"> that a related case is or was pending in this district, the newly–filed case shall be</w:t>
      </w:r>
    </w:p>
    <w:p w:rsidR="00CC64AC" w:rsidRDefault="00CC64AC" w:rsidP="00CC64AC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</w:rPr>
      </w:pPr>
      <w:proofErr w:type="gramStart"/>
      <w:r>
        <w:rPr>
          <w:rFonts w:ascii="TimesNewRomanPSMT" w:eastAsiaTheme="minorHAnsi" w:hAnsi="TimesNewRomanPSMT" w:cs="TimesNewRomanPSMT"/>
        </w:rPr>
        <w:t>assigned</w:t>
      </w:r>
      <w:proofErr w:type="gramEnd"/>
      <w:r>
        <w:rPr>
          <w:rFonts w:ascii="TimesNewRomanPSMT" w:eastAsiaTheme="minorHAnsi" w:hAnsi="TimesNewRomanPSMT" w:cs="TimesNewRomanPSMT"/>
        </w:rPr>
        <w:t xml:space="preserve"> by the clerk to the judge to whom the related case was most recently assigned.</w:t>
      </w:r>
    </w:p>
    <w:p w:rsidR="00CC64AC" w:rsidRDefault="00CC64AC" w:rsidP="00CC64AC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</w:rPr>
      </w:pPr>
    </w:p>
    <w:p w:rsidR="00CC64AC" w:rsidRDefault="00CC64AC" w:rsidP="00CC64AC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</w:rPr>
      </w:pPr>
      <w:r>
        <w:rPr>
          <w:rFonts w:ascii="TimesNewRomanPS-BoldMT" w:eastAsiaTheme="minorHAnsi" w:hAnsi="TimesNewRomanPS-BoldMT" w:cs="TimesNewRomanPS-BoldMT"/>
          <w:b/>
          <w:bCs/>
        </w:rPr>
        <w:t>(d) Reassignment of Cases.</w:t>
      </w:r>
    </w:p>
    <w:p w:rsidR="00CC64AC" w:rsidRDefault="00CC64AC" w:rsidP="00CC64AC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</w:rPr>
      </w:pPr>
    </w:p>
    <w:p w:rsidR="00CC64AC" w:rsidRDefault="00CC64AC" w:rsidP="00CC64AC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</w:rPr>
      </w:pPr>
      <w:r>
        <w:rPr>
          <w:rFonts w:ascii="TimesNewRomanPS-BoldMT" w:eastAsiaTheme="minorHAnsi" w:hAnsi="TimesNewRomanPS-BoldMT" w:cs="TimesNewRomanPS-BoldMT"/>
          <w:b/>
          <w:bCs/>
        </w:rPr>
        <w:tab/>
      </w:r>
      <w:r>
        <w:rPr>
          <w:rFonts w:ascii="TimesNewRomanPS-BoldMT" w:eastAsiaTheme="minorHAnsi" w:hAnsi="TimesNewRomanPS-BoldMT" w:cs="TimesNewRomanPS-BoldMT"/>
          <w:b/>
          <w:bCs/>
        </w:rPr>
        <w:t xml:space="preserve">(1) By the Court. </w:t>
      </w:r>
      <w:r>
        <w:rPr>
          <w:rFonts w:ascii="TimesNewRomanPSMT" w:eastAsiaTheme="minorHAnsi" w:hAnsi="TimesNewRomanPSMT" w:cs="TimesNewRomanPSMT"/>
        </w:rPr>
        <w:t xml:space="preserve">The judge before whom a later–filed case is pending </w:t>
      </w:r>
      <w:proofErr w:type="gramStart"/>
      <w:r>
        <w:rPr>
          <w:rFonts w:ascii="TimesNewRomanPSMT" w:eastAsiaTheme="minorHAnsi" w:hAnsi="TimesNewRomanPSMT" w:cs="TimesNewRomanPSMT"/>
        </w:rPr>
        <w:t>may</w:t>
      </w:r>
      <w:proofErr w:type="gramEnd"/>
      <w:r>
        <w:rPr>
          <w:rFonts w:ascii="TimesNewRomanPSMT" w:eastAsiaTheme="minorHAnsi" w:hAnsi="TimesNewRomanPSMT" w:cs="TimesNewRomanPSMT"/>
        </w:rPr>
        <w:t>, with</w:t>
      </w:r>
    </w:p>
    <w:p w:rsidR="00CC64AC" w:rsidRDefault="00CC64AC" w:rsidP="00CC64AC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</w:rPr>
      </w:pPr>
      <w:r>
        <w:rPr>
          <w:rFonts w:ascii="TimesNewRomanPSMT" w:eastAsiaTheme="minorHAnsi" w:hAnsi="TimesNewRomanPSMT" w:cs="TimesNewRomanPSMT"/>
        </w:rPr>
        <w:tab/>
      </w:r>
      <w:proofErr w:type="gramStart"/>
      <w:r>
        <w:rPr>
          <w:rFonts w:ascii="TimesNewRomanPSMT" w:eastAsiaTheme="minorHAnsi" w:hAnsi="TimesNewRomanPSMT" w:cs="TimesNewRomanPSMT"/>
        </w:rPr>
        <w:t>or</w:t>
      </w:r>
      <w:proofErr w:type="gramEnd"/>
      <w:r>
        <w:rPr>
          <w:rFonts w:ascii="TimesNewRomanPSMT" w:eastAsiaTheme="minorHAnsi" w:hAnsi="TimesNewRomanPSMT" w:cs="TimesNewRomanPSMT"/>
        </w:rPr>
        <w:t xml:space="preserve"> without motion, notice or hearing, order the reassignment of such case to the judge</w:t>
      </w:r>
    </w:p>
    <w:p w:rsidR="00CC64AC" w:rsidRDefault="00CC64AC" w:rsidP="00CC64AC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</w:rPr>
      </w:pPr>
      <w:r>
        <w:rPr>
          <w:rFonts w:ascii="TimesNewRomanPSMT" w:eastAsiaTheme="minorHAnsi" w:hAnsi="TimesNewRomanPSMT" w:cs="TimesNewRomanPSMT"/>
        </w:rPr>
        <w:tab/>
      </w:r>
      <w:proofErr w:type="gramStart"/>
      <w:r>
        <w:rPr>
          <w:rFonts w:ascii="TimesNewRomanPSMT" w:eastAsiaTheme="minorHAnsi" w:hAnsi="TimesNewRomanPSMT" w:cs="TimesNewRomanPSMT"/>
        </w:rPr>
        <w:t>before</w:t>
      </w:r>
      <w:proofErr w:type="gramEnd"/>
      <w:r>
        <w:rPr>
          <w:rFonts w:ascii="TimesNewRomanPSMT" w:eastAsiaTheme="minorHAnsi" w:hAnsi="TimesNewRomanPSMT" w:cs="TimesNewRomanPSMT"/>
        </w:rPr>
        <w:t xml:space="preserve"> whom a prior related case is or was pending. The judge before whom a prior</w:t>
      </w:r>
    </w:p>
    <w:p w:rsidR="00CC64AC" w:rsidRDefault="00CC64AC" w:rsidP="00CC64AC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</w:rPr>
      </w:pPr>
      <w:r>
        <w:rPr>
          <w:rFonts w:ascii="TimesNewRomanPSMT" w:eastAsiaTheme="minorHAnsi" w:hAnsi="TimesNewRomanPSMT" w:cs="TimesNewRomanPSMT"/>
        </w:rPr>
        <w:tab/>
      </w:r>
      <w:proofErr w:type="gramStart"/>
      <w:r>
        <w:rPr>
          <w:rFonts w:ascii="TimesNewRomanPSMT" w:eastAsiaTheme="minorHAnsi" w:hAnsi="TimesNewRomanPSMT" w:cs="TimesNewRomanPSMT"/>
        </w:rPr>
        <w:t>case</w:t>
      </w:r>
      <w:proofErr w:type="gramEnd"/>
      <w:r>
        <w:rPr>
          <w:rFonts w:ascii="TimesNewRomanPSMT" w:eastAsiaTheme="minorHAnsi" w:hAnsi="TimesNewRomanPSMT" w:cs="TimesNewRomanPSMT"/>
        </w:rPr>
        <w:t xml:space="preserve"> is pending or was pending may, with or without motion, notice, or hearing, order</w:t>
      </w:r>
      <w:r>
        <w:rPr>
          <w:rFonts w:ascii="TimesNewRomanPSMT" w:eastAsiaTheme="minorHAnsi" w:hAnsi="TimesNewRomanPSMT" w:cs="TimesNewRomanPSMT"/>
        </w:rPr>
        <w:t xml:space="preserve"> </w:t>
      </w:r>
      <w:r>
        <w:rPr>
          <w:rFonts w:ascii="TimesNewRomanPSMT" w:eastAsiaTheme="minorHAnsi" w:hAnsi="TimesNewRomanPSMT" w:cs="TimesNewRomanPSMT"/>
        </w:rPr>
        <w:t xml:space="preserve">the </w:t>
      </w:r>
      <w:r>
        <w:rPr>
          <w:rFonts w:ascii="TimesNewRomanPSMT" w:eastAsiaTheme="minorHAnsi" w:hAnsi="TimesNewRomanPSMT" w:cs="TimesNewRomanPSMT"/>
        </w:rPr>
        <w:tab/>
      </w:r>
      <w:r>
        <w:rPr>
          <w:rFonts w:ascii="TimesNewRomanPSMT" w:eastAsiaTheme="minorHAnsi" w:hAnsi="TimesNewRomanPSMT" w:cs="TimesNewRomanPSMT"/>
        </w:rPr>
        <w:t>reassignment to his or her docket of a later–filed case pending before another</w:t>
      </w:r>
    </w:p>
    <w:p w:rsidR="00CC64AC" w:rsidRDefault="00CC64AC" w:rsidP="00CC64AC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</w:rPr>
      </w:pPr>
      <w:r>
        <w:rPr>
          <w:rFonts w:ascii="TimesNewRomanPSMT" w:eastAsiaTheme="minorHAnsi" w:hAnsi="TimesNewRomanPSMT" w:cs="TimesNewRomanPSMT"/>
        </w:rPr>
        <w:tab/>
      </w:r>
      <w:proofErr w:type="gramStart"/>
      <w:r>
        <w:rPr>
          <w:rFonts w:ascii="TimesNewRomanPSMT" w:eastAsiaTheme="minorHAnsi" w:hAnsi="TimesNewRomanPSMT" w:cs="TimesNewRomanPSMT"/>
        </w:rPr>
        <w:t>judge</w:t>
      </w:r>
      <w:proofErr w:type="gramEnd"/>
      <w:r>
        <w:rPr>
          <w:rFonts w:ascii="TimesNewRomanPSMT" w:eastAsiaTheme="minorHAnsi" w:hAnsi="TimesNewRomanPSMT" w:cs="TimesNewRomanPSMT"/>
        </w:rPr>
        <w:t xml:space="preserve">. The judges to </w:t>
      </w:r>
      <w:proofErr w:type="gramStart"/>
      <w:r>
        <w:rPr>
          <w:rFonts w:ascii="TimesNewRomanPSMT" w:eastAsiaTheme="minorHAnsi" w:hAnsi="TimesNewRomanPSMT" w:cs="TimesNewRomanPSMT"/>
        </w:rPr>
        <w:t>whom</w:t>
      </w:r>
      <w:proofErr w:type="gramEnd"/>
      <w:r>
        <w:rPr>
          <w:rFonts w:ascii="TimesNewRomanPSMT" w:eastAsiaTheme="minorHAnsi" w:hAnsi="TimesNewRomanPSMT" w:cs="TimesNewRomanPSMT"/>
        </w:rPr>
        <w:t xml:space="preserve"> related cases have been assigned may, by mutual</w:t>
      </w:r>
    </w:p>
    <w:p w:rsidR="00CC64AC" w:rsidRDefault="00CC64AC" w:rsidP="00CC64AC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</w:rPr>
      </w:pPr>
      <w:r>
        <w:rPr>
          <w:rFonts w:ascii="TimesNewRomanPSMT" w:eastAsiaTheme="minorHAnsi" w:hAnsi="TimesNewRomanPSMT" w:cs="TimesNewRomanPSMT"/>
        </w:rPr>
        <w:tab/>
      </w:r>
      <w:proofErr w:type="gramStart"/>
      <w:r>
        <w:rPr>
          <w:rFonts w:ascii="TimesNewRomanPSMT" w:eastAsiaTheme="minorHAnsi" w:hAnsi="TimesNewRomanPSMT" w:cs="TimesNewRomanPSMT"/>
        </w:rPr>
        <w:t>consent</w:t>
      </w:r>
      <w:proofErr w:type="gramEnd"/>
      <w:r>
        <w:rPr>
          <w:rFonts w:ascii="TimesNewRomanPSMT" w:eastAsiaTheme="minorHAnsi" w:hAnsi="TimesNewRomanPSMT" w:cs="TimesNewRomanPSMT"/>
        </w:rPr>
        <w:t>, order the assignment of a prior related case to the judge to whom a later–</w:t>
      </w:r>
    </w:p>
    <w:p w:rsidR="00CC64AC" w:rsidRDefault="00CC64AC" w:rsidP="00CC64AC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</w:rPr>
      </w:pPr>
      <w:r>
        <w:rPr>
          <w:rFonts w:ascii="TimesNewRomanPSMT" w:eastAsiaTheme="minorHAnsi" w:hAnsi="TimesNewRomanPSMT" w:cs="TimesNewRomanPSMT"/>
        </w:rPr>
        <w:tab/>
      </w:r>
      <w:proofErr w:type="gramStart"/>
      <w:r>
        <w:rPr>
          <w:rFonts w:ascii="TimesNewRomanPSMT" w:eastAsiaTheme="minorHAnsi" w:hAnsi="TimesNewRomanPSMT" w:cs="TimesNewRomanPSMT"/>
        </w:rPr>
        <w:t>filed</w:t>
      </w:r>
      <w:proofErr w:type="gramEnd"/>
      <w:r>
        <w:rPr>
          <w:rFonts w:ascii="TimesNewRomanPSMT" w:eastAsiaTheme="minorHAnsi" w:hAnsi="TimesNewRomanPSMT" w:cs="TimesNewRomanPSMT"/>
        </w:rPr>
        <w:t xml:space="preserve"> case has been assigned for good cause based upon the convenience of the parties</w:t>
      </w:r>
    </w:p>
    <w:p w:rsidR="00CC64AC" w:rsidRDefault="00CC64AC" w:rsidP="00CC64AC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</w:rPr>
      </w:pPr>
      <w:r>
        <w:rPr>
          <w:rFonts w:ascii="TimesNewRomanPSMT" w:eastAsiaTheme="minorHAnsi" w:hAnsi="TimesNewRomanPSMT" w:cs="TimesNewRomanPSMT"/>
        </w:rPr>
        <w:tab/>
      </w:r>
      <w:proofErr w:type="gramStart"/>
      <w:r>
        <w:rPr>
          <w:rFonts w:ascii="TimesNewRomanPSMT" w:eastAsiaTheme="minorHAnsi" w:hAnsi="TimesNewRomanPSMT" w:cs="TimesNewRomanPSMT"/>
        </w:rPr>
        <w:t>or</w:t>
      </w:r>
      <w:proofErr w:type="gramEnd"/>
      <w:r>
        <w:rPr>
          <w:rFonts w:ascii="TimesNewRomanPSMT" w:eastAsiaTheme="minorHAnsi" w:hAnsi="TimesNewRomanPSMT" w:cs="TimesNewRomanPSMT"/>
        </w:rPr>
        <w:t xml:space="preserve"> when justice requires.</w:t>
      </w:r>
    </w:p>
    <w:p w:rsidR="00CC64AC" w:rsidRDefault="00CC64AC" w:rsidP="00CC64AC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</w:rPr>
      </w:pPr>
    </w:p>
    <w:p w:rsidR="00CC64AC" w:rsidRDefault="00CC64AC" w:rsidP="00CC64AC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</w:rPr>
      </w:pPr>
      <w:r>
        <w:rPr>
          <w:rFonts w:ascii="TimesNewRomanPS-BoldMT" w:eastAsiaTheme="minorHAnsi" w:hAnsi="TimesNewRomanPS-BoldMT" w:cs="TimesNewRomanPS-BoldMT"/>
          <w:b/>
          <w:bCs/>
        </w:rPr>
        <w:tab/>
      </w:r>
      <w:r>
        <w:rPr>
          <w:rFonts w:ascii="TimesNewRomanPS-BoldMT" w:eastAsiaTheme="minorHAnsi" w:hAnsi="TimesNewRomanPS-BoldMT" w:cs="TimesNewRomanPS-BoldMT"/>
          <w:b/>
          <w:bCs/>
        </w:rPr>
        <w:t xml:space="preserve">(2) Judicial Concurrence Required. </w:t>
      </w:r>
      <w:r>
        <w:rPr>
          <w:rFonts w:ascii="TimesNewRomanPSMT" w:eastAsiaTheme="minorHAnsi" w:hAnsi="TimesNewRomanPSMT" w:cs="TimesNewRomanPSMT"/>
        </w:rPr>
        <w:t>Any reassignment of a case pursuant to (1)</w:t>
      </w:r>
    </w:p>
    <w:p w:rsidR="00CC64AC" w:rsidRDefault="00CC64AC" w:rsidP="00CC64AC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</w:rPr>
      </w:pPr>
      <w:r>
        <w:rPr>
          <w:rFonts w:ascii="TimesNewRomanPSMT" w:eastAsiaTheme="minorHAnsi" w:hAnsi="TimesNewRomanPSMT" w:cs="TimesNewRomanPSMT"/>
        </w:rPr>
        <w:tab/>
      </w:r>
      <w:proofErr w:type="gramStart"/>
      <w:r>
        <w:rPr>
          <w:rFonts w:ascii="TimesNewRomanPSMT" w:eastAsiaTheme="minorHAnsi" w:hAnsi="TimesNewRomanPSMT" w:cs="TimesNewRomanPSMT"/>
        </w:rPr>
        <w:t>above</w:t>
      </w:r>
      <w:proofErr w:type="gramEnd"/>
      <w:r>
        <w:rPr>
          <w:rFonts w:ascii="TimesNewRomanPSMT" w:eastAsiaTheme="minorHAnsi" w:hAnsi="TimesNewRomanPSMT" w:cs="TimesNewRomanPSMT"/>
        </w:rPr>
        <w:t xml:space="preserve"> shall require the concurrence of the judges to whom and from whom such case</w:t>
      </w:r>
    </w:p>
    <w:p w:rsidR="00CC64AC" w:rsidRDefault="00CC64AC" w:rsidP="00CC64AC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</w:rPr>
      </w:pPr>
      <w:r>
        <w:rPr>
          <w:rFonts w:ascii="TimesNewRomanPSMT" w:eastAsiaTheme="minorHAnsi" w:hAnsi="TimesNewRomanPSMT" w:cs="TimesNewRomanPSMT"/>
        </w:rPr>
        <w:tab/>
      </w:r>
      <w:proofErr w:type="gramStart"/>
      <w:r>
        <w:rPr>
          <w:rFonts w:ascii="TimesNewRomanPSMT" w:eastAsiaTheme="minorHAnsi" w:hAnsi="TimesNewRomanPSMT" w:cs="TimesNewRomanPSMT"/>
        </w:rPr>
        <w:t>is</w:t>
      </w:r>
      <w:proofErr w:type="gramEnd"/>
      <w:r>
        <w:rPr>
          <w:rFonts w:ascii="TimesNewRomanPSMT" w:eastAsiaTheme="minorHAnsi" w:hAnsi="TimesNewRomanPSMT" w:cs="TimesNewRomanPSMT"/>
        </w:rPr>
        <w:t xml:space="preserve"> to be reassigned.</w:t>
      </w:r>
    </w:p>
    <w:p w:rsidR="00CC64AC" w:rsidRDefault="00CC64AC" w:rsidP="00CC64AC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</w:rPr>
      </w:pPr>
    </w:p>
    <w:p w:rsidR="00CC64AC" w:rsidRDefault="00CC64AC" w:rsidP="00CC64AC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</w:rPr>
      </w:pPr>
      <w:r>
        <w:rPr>
          <w:rFonts w:ascii="TimesNewRomanPS-BoldMT" w:eastAsiaTheme="minorHAnsi" w:hAnsi="TimesNewRomanPS-BoldMT" w:cs="TimesNewRomanPS-BoldMT"/>
          <w:b/>
          <w:bCs/>
        </w:rPr>
        <w:tab/>
      </w:r>
      <w:r>
        <w:rPr>
          <w:rFonts w:ascii="TimesNewRomanPS-BoldMT" w:eastAsiaTheme="minorHAnsi" w:hAnsi="TimesNewRomanPS-BoldMT" w:cs="TimesNewRomanPS-BoldMT"/>
          <w:b/>
          <w:bCs/>
        </w:rPr>
        <w:t xml:space="preserve">(3) By Motion. </w:t>
      </w:r>
      <w:r>
        <w:rPr>
          <w:rFonts w:ascii="TimesNewRomanPSMT" w:eastAsiaTheme="minorHAnsi" w:hAnsi="TimesNewRomanPSMT" w:cs="TimesNewRomanPSMT"/>
        </w:rPr>
        <w:t>A motion requesting reassignment or consolidation of related</w:t>
      </w:r>
    </w:p>
    <w:p w:rsidR="00CC64AC" w:rsidRDefault="00CC64AC" w:rsidP="00CC64AC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</w:rPr>
      </w:pPr>
      <w:r>
        <w:rPr>
          <w:rFonts w:ascii="TimesNewRomanPSMT" w:eastAsiaTheme="minorHAnsi" w:hAnsi="TimesNewRomanPSMT" w:cs="TimesNewRomanPSMT"/>
        </w:rPr>
        <w:tab/>
      </w:r>
      <w:proofErr w:type="gramStart"/>
      <w:r>
        <w:rPr>
          <w:rFonts w:ascii="TimesNewRomanPSMT" w:eastAsiaTheme="minorHAnsi" w:hAnsi="TimesNewRomanPSMT" w:cs="TimesNewRomanPSMT"/>
        </w:rPr>
        <w:t>cases</w:t>
      </w:r>
      <w:proofErr w:type="gramEnd"/>
      <w:r>
        <w:rPr>
          <w:rFonts w:ascii="TimesNewRomanPSMT" w:eastAsiaTheme="minorHAnsi" w:hAnsi="TimesNewRomanPSMT" w:cs="TimesNewRomanPSMT"/>
        </w:rPr>
        <w:t xml:space="preserve"> or adversary proceedings shall be made to the judge to whom the prior case is</w:t>
      </w:r>
    </w:p>
    <w:p w:rsidR="002122FA" w:rsidRDefault="00CC64AC" w:rsidP="00CC64AC">
      <w:r>
        <w:rPr>
          <w:rFonts w:ascii="TimesNewRomanPSMT" w:eastAsiaTheme="minorHAnsi" w:hAnsi="TimesNewRomanPSMT" w:cs="TimesNewRomanPSMT"/>
        </w:rPr>
        <w:tab/>
      </w:r>
      <w:proofErr w:type="gramStart"/>
      <w:r>
        <w:rPr>
          <w:rFonts w:ascii="TimesNewRomanPSMT" w:eastAsiaTheme="minorHAnsi" w:hAnsi="TimesNewRomanPSMT" w:cs="TimesNewRomanPSMT"/>
        </w:rPr>
        <w:t>or</w:t>
      </w:r>
      <w:proofErr w:type="gramEnd"/>
      <w:r>
        <w:rPr>
          <w:rFonts w:ascii="TimesNewRomanPSMT" w:eastAsiaTheme="minorHAnsi" w:hAnsi="TimesNewRomanPSMT" w:cs="TimesNewRomanPSMT"/>
        </w:rPr>
        <w:t xml:space="preserve"> was assigned.</w:t>
      </w:r>
      <w:bookmarkStart w:id="0" w:name="_GoBack"/>
      <w:bookmarkEnd w:id="0"/>
    </w:p>
    <w:sectPr w:rsidR="002122F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4AC" w:rsidRDefault="00CC64AC" w:rsidP="00CC64AC">
      <w:r>
        <w:separator/>
      </w:r>
    </w:p>
  </w:endnote>
  <w:endnote w:type="continuationSeparator" w:id="0">
    <w:p w:rsidR="00CC64AC" w:rsidRDefault="00CC64AC" w:rsidP="00CC6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4AC" w:rsidRDefault="00CC64AC">
    <w:pPr>
      <w:pStyle w:val="Footer"/>
    </w:pPr>
    <w:r>
      <w:t>3/25/13</w:t>
    </w:r>
  </w:p>
  <w:p w:rsidR="00CC64AC" w:rsidRDefault="00CC64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4AC" w:rsidRDefault="00CC64AC" w:rsidP="00CC64AC">
      <w:r>
        <w:separator/>
      </w:r>
    </w:p>
  </w:footnote>
  <w:footnote w:type="continuationSeparator" w:id="0">
    <w:p w:rsidR="00CC64AC" w:rsidRDefault="00CC64AC" w:rsidP="00CC6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4AC"/>
    <w:rsid w:val="005F03C6"/>
    <w:rsid w:val="00CC64AC"/>
    <w:rsid w:val="00FB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C64A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64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64A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64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64A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4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4A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C64A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64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64A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64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64A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4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4A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352</Words>
  <Characters>2012</Characters>
  <Application>Microsoft Office Word</Application>
  <DocSecurity>0</DocSecurity>
  <Lines>16</Lines>
  <Paragraphs>4</Paragraphs>
  <ScaleCrop>false</ScaleCrop>
  <Company>Microsoft</Company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Ginger McNulty</dc:creator>
  <cp:lastModifiedBy>Ginger McNulty</cp:lastModifiedBy>
  <cp:revision>1</cp:revision>
  <dcterms:created xsi:type="dcterms:W3CDTF">2013-03-25T20:42:00Z</dcterms:created>
  <dcterms:modified xsi:type="dcterms:W3CDTF">2013-03-25T20:44:00Z</dcterms:modified>
</cp:coreProperties>
</file>